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КЛАСИФИКАЦИЈА РЕПРЕЗЕТАТИВНИХ РЕФЕРЕНЦИ НАСТАВНИКА И КОМПЕТЕТНОСТ МЕНТОРА У ПОЉУ УМЕТНОСТИ</w:t>
      </w:r>
    </w:p>
    <w:p w:rsidR="00000000" w:rsidDel="00000000" w:rsidP="00000000" w:rsidRDefault="00000000" w:rsidRPr="00000000" w14:paraId="00000002">
      <w:pPr>
        <w:jc w:val="both"/>
        <w:rPr>
          <w:rFonts w:ascii="Times New Roman" w:cs="Times New Roman" w:eastAsia="Times New Roman" w:hAnsi="Times New Roman"/>
          <w:b w:val="1"/>
          <w:smallCaps w:val="1"/>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I РЕПРЕЗЕТАТИВНЕ РЕФЕРЕНЦЕ НАСТАВНИКА УМЕТНОСТИ</w:t>
      </w:r>
    </w:p>
    <w:tbl>
      <w:tblPr>
        <w:tblStyle w:val="Table1"/>
        <w:tblW w:w="10128.0" w:type="dxa"/>
        <w:jc w:val="left"/>
        <w:tblInd w:w="1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
        <w:gridCol w:w="9136"/>
        <w:tblGridChange w:id="0">
          <w:tblGrid>
            <w:gridCol w:w="992"/>
            <w:gridCol w:w="9136"/>
          </w:tblGrid>
        </w:tblGridChange>
      </w:tblGrid>
      <w:tr>
        <w:trPr>
          <w:cantSplit w:val="0"/>
          <w:trHeight w:val="275" w:hRule="atLeast"/>
          <w:tblHeader w:val="0"/>
        </w:trPr>
        <w:tc>
          <w:tcPr>
            <w:shd w:fill="f1f1f1" w:val="clea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41"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У10</w:t>
            </w:r>
          </w:p>
        </w:tc>
        <w:tc>
          <w:tcPr>
            <w:shd w:fill="f1f1f1" w:val="cle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РЕПРЕЗЕНТАТИВНО УМЕТНИЧКО СТВАРАЛАШТВО</w:t>
            </w:r>
          </w:p>
        </w:tc>
      </w:tr>
      <w:tr>
        <w:trPr>
          <w:cantSplit w:val="0"/>
          <w:trHeight w:val="5457" w:hRule="atLeast"/>
          <w:tblHeader w:val="0"/>
        </w:trPr>
        <w:tc>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 w:line="240" w:lineRule="auto"/>
              <w:ind w:left="14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У11</w:t>
            </w:r>
          </w:p>
        </w:tc>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34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а) Музичка уметност</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 w:right="41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Уметничко дело у ужој уметничкој области изведено на фестивалу од међународног значаја.</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4" w:lineRule="auto"/>
              <w:ind w:left="38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б) Драмске и аудиовизуелне уметности</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34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Јавно извођење, односно, приказивање драмског, перформативног или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5" w:right="80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аудиовизуелног уметничког дела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као и дела у области интердисциплинарног стваралаштва, на фестивалима и манифестацијама од међународног значаја у земљи и иностранству.</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34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в) Ликовне уметности</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5" w:right="41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Јавно приказивање опсежног индивидуалног уметничког опуса; репрезентативно излагање на самосталној изложби у земљи или иностранству из области ликовних уметности у ужем смислу, као и у хибридним уметничким</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28" w:lineRule="auto"/>
              <w:ind w:left="345" w:right="124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дисциплинамау референтним институцијама и другим репрезентативним платформама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4" w:lineRule="auto"/>
              <w:ind w:left="34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 Примењене уметности и дизајн</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5" w:right="37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Јавно излагање, односно, приказивање уметничког дела или пројекта из уже уметничке области или интердисциплинарног стваралаштва на самосталним изложбама и манифестацијама у релевантном јавном простору (отвореном, затвореном и виртуелном); реализација ауторског или коауторског дела / пројекта у релевантном јавном простору,на тржишту или по позиву; конзерваторско-рестаураторска експертиза по позиву референтне установе.</w:t>
            </w:r>
          </w:p>
        </w:tc>
      </w:tr>
      <w:tr>
        <w:trPr>
          <w:cantSplit w:val="0"/>
          <w:trHeight w:val="2227" w:hRule="atLeast"/>
          <w:tblHeader w:val="0"/>
        </w:trPr>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У12</w:t>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34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 Музичка уметност</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205"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Композиторско стваралаштво</w:t>
            </w:r>
          </w:p>
          <w:p w:rsidR="00000000" w:rsidDel="00000000" w:rsidP="00000000" w:rsidRDefault="00000000" w:rsidRPr="00000000" w14:paraId="0000002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729"/>
              </w:tabs>
              <w:spacing w:after="0" w:before="0" w:line="240" w:lineRule="auto"/>
              <w:ind w:left="301" w:right="271" w:hanging="96.00000000000001"/>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премијерна презентација дела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симфонијска дела, дела за камерни оркестар, концерти за солисту са симфонијским или камерним оркестром, вокално инструментална дела за солисте и симфонијски или камерни оркестар, опере, ораторијуми, балети, оперете, мјузикли, сложена електро-акустичка дела, сложене хорске композиције за најмање четири гласа, дела за камерни састав (од секстета</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30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па навише), ауторски концерт.</w:t>
            </w:r>
          </w:p>
        </w:tc>
      </w:tr>
      <w:tr>
        <w:trPr>
          <w:cantSplit w:val="0"/>
          <w:trHeight w:val="9213" w:hRule="atLeast"/>
          <w:tblHeader w:val="0"/>
        </w:trPr>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205"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Извођачке уметности:</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29"/>
              </w:tabs>
              <w:spacing w:after="0" w:before="14" w:line="225" w:lineRule="auto"/>
              <w:ind w:left="301" w:right="270" w:hanging="96.00000000000001"/>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премијерно извођење дела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3"/>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премијерно извођење дела у Србији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4"/>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или прво извођење дела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5"/>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301" w:right="270" w:hanging="96.0000000000000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-наступ у својству диригента на целовечерњем концерту са хором, симфонијским или камерним оркестром; у вокално-инструменталном делу; у балетској представи илинаступ у својству солистена концерту (дело изведено у целини) са симфонијским или камерним оркестром, на целовечерњем солистичком реситалу, у вокално-инструменталном делу, улога првог фаха у оперској представиу одговарајућој ужој уметничкој области за коју се бира.</w:t>
            </w:r>
          </w:p>
          <w:p w:rsidR="00000000" w:rsidDel="00000000" w:rsidP="00000000" w:rsidRDefault="00000000" w:rsidRPr="00000000" w14:paraId="0000002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350"/>
              </w:tabs>
              <w:spacing w:after="0" w:before="0" w:line="240" w:lineRule="auto"/>
              <w:ind w:left="301" w:right="273" w:hanging="96.00000000000001"/>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целовечерњи концерт у камерном ансамблу односно џез ансамблу за одговарајућу ужу уметничку област.</w:t>
            </w:r>
          </w:p>
          <w:p w:rsidR="00000000" w:rsidDel="00000000" w:rsidP="00000000" w:rsidRDefault="00000000" w:rsidRPr="00000000" w14:paraId="0000002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374"/>
              </w:tabs>
              <w:spacing w:after="0" w:before="0" w:line="240" w:lineRule="auto"/>
              <w:ind w:left="301" w:right="274" w:hanging="96.00000000000001"/>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целовечерњи концерт симфонијског оркестра, оперска или балетска представа – члан оркестра који је у рангу вођа деонице, заменик вође деонице, први или трећи солиста – за одговарајућу ужу уметничку област у домену оркестарских деоница.</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4" w:lineRule="auto"/>
              <w:ind w:left="20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 Драмске и аудиовизуелне уметности</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01" w:right="274" w:hanging="36.00000000000001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Значајан уметнички допринос при продукцији сложеног дела у области драмских, перформативних, аудио, визуелних и аудиовизуелних уметности, као и у области интердисциплинарног стваралаштва, које је премијерно представљено јавности у земљи и иностранству, или први пут објављено у целости на трајном медију или интернету, а које не припада категорији У11: главна улога односно извођачки задатак или ауторски концепт у драмском, перформативном, аудио, визуелном или аудиовизуелном делу, сценски покрет, сценски говор, оригинални драмски текст, сценарио, драматизација, драматургија, режија, кореографија, продукција (позоришта, филма, радија, телевизије и културе), камера, монтажа, анимација, снимање и дизајн звука, дизајн светла, дизајн видео игара.</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34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в) Ликовне уметности</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337" w:right="26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Јавно репрезентативно индивидуално или групно излагање и опсежни наступ, кроз приказивање уметничких дела, или пројекта, на међународној и домаћој, колективној, жирираној или ауторски конципираној изложби однoсно манифестацији из области ликовних уметности у ужем смислу, као и у хибридним уметничким дисциплинама, у галеријама, музејима или другим репрезентативним плаформама.</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8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г) Примењене уметности и дизајн</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345" w:right="26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Јавно излагање, односно, приказивање уметничког дела или пројекта из уже уметничке области и/или интердисциплинарног стваралаштва на колективној изложби или манифестацији у релевантном јавном простору (отвореном, затвореном и виртуелном).</w:t>
            </w:r>
          </w:p>
        </w:tc>
      </w:tr>
    </w:tbl>
    <w:p w:rsidR="00000000" w:rsidDel="00000000" w:rsidP="00000000" w:rsidRDefault="00000000" w:rsidRPr="00000000" w14:paraId="0000002E">
      <w:pPr>
        <w:jc w:val="both"/>
        <w:rPr>
          <w:rFonts w:ascii="Times New Roman" w:cs="Times New Roman" w:eastAsia="Times New Roman" w:hAnsi="Times New Roman"/>
          <w:b w:val="1"/>
          <w:smallCaps w:val="1"/>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b w:val="1"/>
          <w:smallCaps w:val="1"/>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b w:val="1"/>
          <w:smallCaps w:val="1"/>
        </w:rPr>
      </w:pPr>
      <w:r w:rsidDel="00000000" w:rsidR="00000000" w:rsidRPr="00000000">
        <w:rPr>
          <w:rtl w:val="0"/>
        </w:rPr>
      </w:r>
    </w:p>
    <w:tbl>
      <w:tblPr>
        <w:tblStyle w:val="Table2"/>
        <w:tblW w:w="10128.0" w:type="dxa"/>
        <w:jc w:val="left"/>
        <w:tblInd w:w="1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
        <w:gridCol w:w="9136"/>
        <w:tblGridChange w:id="0">
          <w:tblGrid>
            <w:gridCol w:w="992"/>
            <w:gridCol w:w="9136"/>
          </w:tblGrid>
        </w:tblGridChange>
      </w:tblGrid>
      <w:tr>
        <w:trPr>
          <w:cantSplit w:val="0"/>
          <w:trHeight w:val="5609" w:hRule="atLeast"/>
          <w:tblHeader w:val="0"/>
        </w:trPr>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14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У13</w:t>
            </w:r>
          </w:p>
        </w:tc>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39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а) Музичка уметност</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345"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Композиторско стваралаштво:</w:t>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8"/>
                <w:tab w:val="left" w:pos="729"/>
              </w:tabs>
              <w:spacing w:after="0" w:before="0" w:line="240" w:lineRule="auto"/>
              <w:ind w:left="335" w:right="279" w:firstLine="1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премијерна презентација дела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сложене композиције за камерне саставе од три до пет инструмената.</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345"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Извођачке уметности:</w:t>
            </w:r>
          </w:p>
          <w:p w:rsidR="00000000" w:rsidDel="00000000" w:rsidP="00000000" w:rsidRDefault="00000000" w:rsidRPr="00000000" w14:paraId="000000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9"/>
              </w:tabs>
              <w:spacing w:after="0" w:before="7" w:line="232" w:lineRule="auto"/>
              <w:ind w:left="385" w:right="269" w:firstLine="1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премијерно извођење дела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премијерно извођење дела у Србији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или прво извођење дела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6"/>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целовечерњи концерт у камерном ансамблу – уже уметничке области инструмената који нису примарно солистички.</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4" w:lineRule="auto"/>
              <w:ind w:left="38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б) Драмске и аудиовизуелне уметности</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5" w:right="27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Уметнички допринос при реализацији сложеног дела у области драмских, перформативних аудио, визуелних и аудиовизуелних уметности, као и у области интердисциплинарног стваралаштва.</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4" w:lineRule="auto"/>
              <w:ind w:left="39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в) Ликовне уметности</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35" w:lineRule="auto"/>
              <w:ind w:left="337" w:right="27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Реализација ауторског уметничког дела у јавном простору, или реализација репрезентативне ауторске изложбе или пројект, који упечатљиво трансформише јавни простор или расветљава уметничку појаву, доприносећи aфирмацији и видљивости уметничког поља</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perscript"/>
                <w:rtl w:val="0"/>
              </w:rPr>
              <w:t xml:space="preserve">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38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г) Примењене уметности и дизајн</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96" w:lineRule="auto"/>
              <w:ind w:left="385" w:right="41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Уметнички допринос при реализацији студије у ужој уметничкој области, односно области интердисциплинарног стваралаштва.</w:t>
            </w:r>
          </w:p>
        </w:tc>
      </w:tr>
    </w:tbl>
    <w:p w:rsidR="00000000" w:rsidDel="00000000" w:rsidP="00000000" w:rsidRDefault="00000000" w:rsidRPr="00000000" w14:paraId="00000045">
      <w:pPr>
        <w:jc w:val="both"/>
        <w:rPr>
          <w:rFonts w:ascii="Times New Roman" w:cs="Times New Roman" w:eastAsia="Times New Roman" w:hAnsi="Times New Roman"/>
          <w:b w:val="1"/>
          <w:smallCaps w:val="1"/>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smallCaps w:val="1"/>
        </w:rPr>
      </w:pPr>
      <w:r w:rsidDel="00000000" w:rsidR="00000000" w:rsidRPr="00000000">
        <w:br w:type="page"/>
      </w:r>
      <w:r w:rsidDel="00000000" w:rsidR="00000000" w:rsidRPr="00000000">
        <w:rPr>
          <w:rtl w:val="0"/>
        </w:rPr>
      </w:r>
    </w:p>
    <w:tbl>
      <w:tblPr>
        <w:tblStyle w:val="Table3"/>
        <w:tblW w:w="10025.0" w:type="dxa"/>
        <w:jc w:val="left"/>
        <w:tblInd w:w="1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0"/>
        <w:gridCol w:w="9045"/>
        <w:tblGridChange w:id="0">
          <w:tblGrid>
            <w:gridCol w:w="980"/>
            <w:gridCol w:w="9045"/>
          </w:tblGrid>
        </w:tblGridChange>
      </w:tblGrid>
      <w:tr>
        <w:trPr>
          <w:cantSplit w:val="0"/>
          <w:trHeight w:val="472" w:hRule="atLeast"/>
          <w:tblHeader w:val="0"/>
        </w:trPr>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9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У20</w:t>
            </w:r>
          </w:p>
        </w:tc>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9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НАГРАДЕ, ПРИЗНАЊА И ЕКСТЕРНА ЕВАЛУАЦИЈА</w:t>
            </w:r>
          </w:p>
        </w:tc>
      </w:tr>
      <w:tr>
        <w:trPr>
          <w:cantSplit w:val="0"/>
          <w:trHeight w:val="1302" w:hRule="atLeast"/>
          <w:tblHeader w:val="0"/>
        </w:trPr>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 w:line="240" w:lineRule="auto"/>
              <w:ind w:left="9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У21</w:t>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97" w:right="24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Релевантна награда или признање за уметничко дело/пројекат, награда или признање на престижним такмичењима, фестивалима и конкурсима, награда или признање за допринос у ужој уметничкој области, односно области интердисциплинарног стваралаштва, као и наградa за стручни и/или педагошки рад.</w:t>
            </w:r>
          </w:p>
        </w:tc>
      </w:tr>
      <w:tr>
        <w:trPr>
          <w:cantSplit w:val="0"/>
          <w:trHeight w:val="1579" w:hRule="atLeast"/>
          <w:tblHeader w:val="0"/>
        </w:trPr>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У22</w:t>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97" w:right="24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Награда или признање за колективно дело у ужој уметничкој области, као и у области интердисциплинарног стваралаштва, у оквиру којег је уметник остварио уметнички допринос, а које је изведено на престижном такмичењу односно укључено у званичну селекцију фестивала или које је остварено унутар независног експертског пројекта.</w:t>
            </w:r>
          </w:p>
        </w:tc>
      </w:tr>
      <w:tr>
        <w:trPr>
          <w:cantSplit w:val="0"/>
          <w:trHeight w:val="1300" w:hRule="atLeast"/>
          <w:tblHeader w:val="0"/>
        </w:trPr>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 w:line="240" w:lineRule="auto"/>
              <w:ind w:left="9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У23</w:t>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97" w:right="24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Рад из уже уметничке области, односно области интердисциплинарног стваралаштва, који је у јавним и приватним колекцијама које имају верификацију од јавног значаја као и увршћење дела у ретроспективу, антологију или националну селекцију.</w:t>
            </w:r>
          </w:p>
        </w:tc>
      </w:tr>
      <w:tr>
        <w:trPr>
          <w:cantSplit w:val="0"/>
          <w:trHeight w:val="1026" w:hRule="atLeast"/>
          <w:tblHeader w:val="0"/>
        </w:trPr>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У24</w:t>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97" w:right="25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Рецензија/теоријска или монографска студија независног експерта која се односи на дело у ужој уметничкој области, односно области интердициплинарног стваралаштва, у оквиру којег је остварен уметнички допринос.</w:t>
            </w:r>
          </w:p>
        </w:tc>
      </w:tr>
    </w:tbl>
    <w:p w:rsidR="00000000" w:rsidDel="00000000" w:rsidP="00000000" w:rsidRDefault="00000000" w:rsidRPr="00000000" w14:paraId="00000056">
      <w:pPr>
        <w:jc w:val="both"/>
        <w:rPr>
          <w:rFonts w:ascii="Times New Roman" w:cs="Times New Roman" w:eastAsia="Times New Roman" w:hAnsi="Times New Roman"/>
          <w:b w:val="1"/>
          <w:smallCaps w:val="1"/>
        </w:rPr>
      </w:pPr>
      <w:r w:rsidDel="00000000" w:rsidR="00000000" w:rsidRPr="00000000">
        <w:rPr>
          <w:rtl w:val="0"/>
        </w:rPr>
      </w:r>
    </w:p>
    <w:tbl>
      <w:tblPr>
        <w:tblStyle w:val="Table4"/>
        <w:tblW w:w="9923.0" w:type="dxa"/>
        <w:jc w:val="left"/>
        <w:tblInd w:w="1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0"/>
        <w:gridCol w:w="9073"/>
        <w:tblGridChange w:id="0">
          <w:tblGrid>
            <w:gridCol w:w="850"/>
            <w:gridCol w:w="9073"/>
          </w:tblGrid>
        </w:tblGridChange>
      </w:tblGrid>
      <w:tr>
        <w:trPr>
          <w:cantSplit w:val="0"/>
          <w:trHeight w:val="275" w:hRule="atLeast"/>
          <w:tblHeader w:val="0"/>
        </w:trPr>
        <w:tc>
          <w:tcPr>
            <w:shd w:fill="f1f1f1" w:val="cle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У30</w:t>
            </w:r>
          </w:p>
        </w:tc>
        <w:tc>
          <w:tcPr>
            <w:shd w:fill="f1f1f1" w:val="cle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ПЕДАГОШКА И СТРУЧНА ДЕЛАТНОСТ</w:t>
            </w:r>
          </w:p>
        </w:tc>
      </w:tr>
      <w:tr>
        <w:trPr>
          <w:cantSplit w:val="0"/>
          <w:trHeight w:val="551" w:hRule="atLeast"/>
          <w:tblHeader w:val="0"/>
        </w:trPr>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240" w:lineRule="auto"/>
              <w:ind w:left="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У31</w:t>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4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Објављено теоријско или уџбеничко дело, књига или студија у ужој уметничкој</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4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области, односно области интердисциплинарног стваралаштва.</w:t>
            </w:r>
          </w:p>
        </w:tc>
      </w:tr>
      <w:tr>
        <w:trPr>
          <w:cantSplit w:val="0"/>
          <w:trHeight w:val="827" w:hRule="atLeast"/>
          <w:tblHeader w:val="0"/>
        </w:trPr>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У32</w:t>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4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Мајсторски курс, семинар, радионица, јавно предавање, и/или саопштење на домаћој</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или међународној конференцији, симпозијуму, конгресу у ужој уметничкој области, као и у области интердисциплинарног стваралаштва.</w:t>
            </w:r>
          </w:p>
        </w:tc>
      </w:tr>
      <w:tr>
        <w:trPr>
          <w:cantSplit w:val="0"/>
          <w:trHeight w:val="1103" w:hRule="atLeast"/>
          <w:tblHeader w:val="0"/>
        </w:trPr>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У33</w:t>
            </w:r>
          </w:p>
        </w:tc>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94"/>
                <w:tab w:val="left" w:pos="1762"/>
                <w:tab w:val="left" w:pos="2210"/>
                <w:tab w:val="left" w:pos="3074"/>
                <w:tab w:val="left" w:pos="3529"/>
                <w:tab w:val="left" w:pos="4848"/>
                <w:tab w:val="left" w:pos="6004"/>
                <w:tab w:val="left" w:pos="6543"/>
                <w:tab w:val="left" w:pos="7218"/>
                <w:tab w:val="left" w:pos="7570"/>
                <w:tab w:val="left" w:pos="7769"/>
                <w:tab w:val="left" w:pos="8550"/>
                <w:tab w:val="left" w:pos="8796"/>
              </w:tabs>
              <w:spacing w:after="0" w:before="0" w:line="240" w:lineRule="auto"/>
              <w:ind w:left="141" w:right="13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Програмска</w:t>
              <w:tab/>
              <w:t xml:space="preserve">или</w:t>
              <w:tab/>
              <w:t xml:space="preserve">уметничка</w:t>
              <w:tab/>
              <w:t xml:space="preserve">дирекција,</w:t>
              <w:tab/>
              <w:t xml:space="preserve">ауторски</w:t>
              <w:tab/>
              <w:t xml:space="preserve">допринос</w:t>
              <w:tab/>
              <w:t xml:space="preserve">у</w:t>
              <w:tab/>
              <w:t xml:space="preserve">креирању</w:t>
              <w:tab/>
              <w:t xml:space="preserve">и организацији,</w:t>
              <w:tab/>
              <w:tab/>
              <w:t xml:space="preserve">фестивала,</w:t>
              <w:tab/>
              <w:t xml:space="preserve">манифестације,</w:t>
              <w:tab/>
              <w:t xml:space="preserve">конференције,</w:t>
              <w:tab/>
              <w:t xml:space="preserve">тематског</w:t>
              <w:tab/>
              <w:tab/>
              <w:t xml:space="preserve">скупа</w:t>
              <w:tab/>
              <w:t xml:space="preserve">или</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сложеног пројекта у ужој уметничкој области, као и у области интердисциплинарног стваралаштва.</w:t>
            </w:r>
          </w:p>
        </w:tc>
      </w:tr>
      <w:tr>
        <w:trPr>
          <w:cantSplit w:val="0"/>
          <w:trHeight w:val="1656" w:hRule="atLeast"/>
          <w:tblHeader w:val="0"/>
        </w:trPr>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У34</w:t>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12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Менторство на завршним радовима и докторским уметничким пројектима; развој уметничког подмладка и млађег академског особља, и значајни резултати студената остварени у наставном процесу. Изузетни успеси студената на свим нивоима студија настали у оквиру наставног процеса, награде на такмичењима, учествовање студената у манифестацијама које промовишу рад факултета и Универзитета,</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4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изведени пројекти у сарадњи са јавним институцијама и привредом.</w:t>
            </w:r>
          </w:p>
        </w:tc>
      </w:tr>
      <w:tr>
        <w:trPr>
          <w:cantSplit w:val="0"/>
          <w:trHeight w:val="830" w:hRule="atLeast"/>
          <w:tblHeader w:val="0"/>
        </w:trPr>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У35</w:t>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 w:right="13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Учешће у раду жирија или селекторски рад на изложби, фестивалу манифестацији, конкурсу за пројекат из уже уметничке области односно интердисциплинарног стваралаштва као и учешће у раду редакција часописа за културу и уметност.</w:t>
            </w:r>
          </w:p>
        </w:tc>
      </w:tr>
      <w:tr>
        <w:trPr>
          <w:cantSplit w:val="0"/>
          <w:trHeight w:val="551" w:hRule="atLeast"/>
          <w:tblHeader w:val="0"/>
        </w:trPr>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6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У36</w:t>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4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Рецензирање теоријских и стручних радова у ужој уметничкој области, као и у</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4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области интердисциплинарног стваралаштва.</w:t>
            </w:r>
          </w:p>
        </w:tc>
      </w:tr>
      <w:tr>
        <w:trPr>
          <w:cantSplit w:val="0"/>
          <w:trHeight w:val="1379" w:hRule="atLeast"/>
          <w:tblHeader w:val="0"/>
        </w:trPr>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У37</w:t>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13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Ангажовање у развоју наставе и других делатности матичне високошколске установе (учешће у раду стручних и управљачких тела факултета и универзитета).</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12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Сарадња са другом високошколском установом, научно-истраживачком организацијом, установом културе, институцијом која се бави заштитом културног наслеђа, као и привредним субјектима.</w:t>
            </w:r>
          </w:p>
        </w:tc>
      </w:tr>
    </w:tbl>
    <w:p w:rsidR="00000000" w:rsidDel="00000000" w:rsidP="00000000" w:rsidRDefault="00000000" w:rsidRPr="00000000" w14:paraId="00000074">
      <w:pPr>
        <w:jc w:val="both"/>
        <w:rPr>
          <w:rFonts w:ascii="Times New Roman" w:cs="Times New Roman" w:eastAsia="Times New Roman" w:hAnsi="Times New Roman"/>
          <w:b w:val="1"/>
          <w:smallCaps w:val="1"/>
        </w:rPr>
      </w:pPr>
      <w:r w:rsidDel="00000000" w:rsidR="00000000" w:rsidRPr="00000000">
        <w:rPr>
          <w:rtl w:val="0"/>
        </w:rPr>
      </w:r>
    </w:p>
    <w:tbl>
      <w:tblPr>
        <w:tblStyle w:val="Table5"/>
        <w:tblW w:w="9923.0" w:type="dxa"/>
        <w:jc w:val="left"/>
        <w:tblInd w:w="1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0"/>
        <w:gridCol w:w="9073"/>
        <w:tblGridChange w:id="0">
          <w:tblGrid>
            <w:gridCol w:w="850"/>
            <w:gridCol w:w="9073"/>
          </w:tblGrid>
        </w:tblGridChange>
      </w:tblGrid>
      <w:tr>
        <w:trPr>
          <w:cantSplit w:val="0"/>
          <w:trHeight w:val="827" w:hRule="atLeast"/>
          <w:tblHeader w:val="0"/>
        </w:trPr>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У38</w:t>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673"/>
                <w:tab w:val="left" w:pos="5359"/>
                <w:tab w:val="left" w:pos="6587"/>
                <w:tab w:val="left" w:pos="7927"/>
              </w:tabs>
              <w:spacing w:after="0" w:before="0" w:line="240" w:lineRule="auto"/>
              <w:ind w:left="141" w:right="13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Развој и учешће у реализацији међународних пројекта који доприносе процесу интернационализације</w:t>
              <w:tab/>
              <w:t xml:space="preserve">факултета/универзитета</w:t>
              <w:tab/>
              <w:t xml:space="preserve">(пројекат,</w:t>
              <w:tab/>
              <w:t xml:space="preserve">заједнички</w:t>
              <w:tab/>
              <w:t xml:space="preserve">студијски</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4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програми, програми мобилности и сл.).</w:t>
            </w:r>
          </w:p>
        </w:tc>
      </w:tr>
      <w:tr>
        <w:trPr>
          <w:cantSplit w:val="0"/>
          <w:trHeight w:val="827" w:hRule="atLeast"/>
          <w:tblHeader w:val="0"/>
        </w:trPr>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У39</w:t>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13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Стручно/експертско односно саветодавно учешће у пројектима од државног, локалног и/или општег друштвеног значаја у области уметности, културе и заштите</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4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културног наслеђа.</w:t>
            </w:r>
          </w:p>
        </w:tc>
      </w:tr>
    </w:tbl>
    <w:p w:rsidR="00000000" w:rsidDel="00000000" w:rsidP="00000000" w:rsidRDefault="00000000" w:rsidRPr="00000000" w14:paraId="0000007D">
      <w:pPr>
        <w:jc w:val="both"/>
        <w:rPr>
          <w:rFonts w:ascii="Times New Roman" w:cs="Times New Roman" w:eastAsia="Times New Roman" w:hAnsi="Times New Roman"/>
          <w:b w:val="1"/>
          <w:smallCaps w:val="1"/>
        </w:rPr>
      </w:pPr>
      <w:r w:rsidDel="00000000" w:rsidR="00000000" w:rsidRPr="00000000">
        <w:rPr>
          <w:rtl w:val="0"/>
        </w:rPr>
      </w:r>
    </w:p>
    <w:tbl>
      <w:tblPr>
        <w:tblStyle w:val="Table6"/>
        <w:tblW w:w="10128.0" w:type="dxa"/>
        <w:jc w:val="left"/>
        <w:tblInd w:w="1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
        <w:gridCol w:w="9136"/>
        <w:tblGridChange w:id="0">
          <w:tblGrid>
            <w:gridCol w:w="992"/>
            <w:gridCol w:w="9136"/>
          </w:tblGrid>
        </w:tblGridChange>
      </w:tblGrid>
      <w:tr>
        <w:trPr>
          <w:cantSplit w:val="0"/>
          <w:trHeight w:val="294" w:hRule="atLeast"/>
          <w:tblHeader w:val="0"/>
        </w:trPr>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У40</w:t>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3"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УМЕТНИЧКО СТВАРАЛАШТВО</w:t>
            </w:r>
          </w:p>
        </w:tc>
      </w:tr>
      <w:tr>
        <w:trPr>
          <w:cantSplit w:val="0"/>
          <w:trHeight w:val="7112" w:hRule="atLeast"/>
          <w:tblHeader w:val="0"/>
        </w:trPr>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У41</w:t>
            </w:r>
          </w:p>
        </w:tc>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34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а) Музичка уметност</w: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347"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Композиторско стваралаштво:</w:t>
            </w:r>
          </w:p>
          <w:p w:rsidR="00000000" w:rsidDel="00000000" w:rsidP="00000000" w:rsidRDefault="00000000" w:rsidRPr="00000000" w14:paraId="0000008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27"/>
                <w:tab w:val="left" w:pos="828"/>
              </w:tabs>
              <w:spacing w:after="0" w:before="0" w:line="240" w:lineRule="auto"/>
              <w:ind w:left="347" w:right="296" w:firstLine="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премијерна презентација дела</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perscript"/>
                <w:rtl w:val="0"/>
              </w:rPr>
              <w:t xml:space="preserve">4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композиције које нису обухваћене у категоријама У12 и У13.</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347"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Извођачке уметности:</w:t>
            </w:r>
          </w:p>
          <w:p w:rsidR="00000000" w:rsidDel="00000000" w:rsidP="00000000" w:rsidRDefault="00000000" w:rsidRPr="00000000" w14:paraId="0000009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27"/>
                <w:tab w:val="left" w:pos="828"/>
              </w:tabs>
              <w:spacing w:after="0" w:before="0" w:line="240" w:lineRule="auto"/>
              <w:ind w:left="347" w:right="295" w:firstLine="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премијерно извођење дела</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perscript"/>
                <w:rtl w:val="0"/>
              </w:rPr>
              <w:t xml:space="preserve">5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наступи на концертима који нису обухваћени у категоријама У12 и У13;</w:t>
            </w:r>
          </w:p>
          <w:p w:rsidR="00000000" w:rsidDel="00000000" w:rsidP="00000000" w:rsidRDefault="00000000" w:rsidRPr="00000000" w14:paraId="0000009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27"/>
                <w:tab w:val="left" w:pos="828"/>
                <w:tab w:val="left" w:pos="5201"/>
              </w:tabs>
              <w:spacing w:after="0" w:before="0" w:line="240" w:lineRule="auto"/>
              <w:ind w:left="347" w:right="293" w:firstLine="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премијерно  извођење  дела  у Србији</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perscript"/>
                <w:rtl w:val="0"/>
              </w:rPr>
              <w:t xml:space="preserve">6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tab/>
              <w:t xml:space="preserve">наступи на концертима који нису обухваћени у категоријама У12 и У13;</w:t>
            </w:r>
          </w:p>
          <w:p w:rsidR="00000000" w:rsidDel="00000000" w:rsidP="00000000" w:rsidRDefault="00000000" w:rsidRPr="00000000" w14:paraId="0000009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27"/>
                <w:tab w:val="left" w:pos="828"/>
              </w:tabs>
              <w:spacing w:after="0" w:before="0" w:line="293.00000000000006" w:lineRule="auto"/>
              <w:ind w:left="347" w:right="0" w:firstLine="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објављен трајни снимак са рецензијом</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34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б) Драмске и аудиовизуелне уметности</w:t>
            </w: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347" w:right="29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Допринос при стварању оригиналног дела у ужој уметничко области, као и у области интердисциплинарног стваралаштва, у склопу уметничке сарадње са једним од аутора дела (асистентура и помоћне функције у оквиру ауторског тима), или споредна улога односно извођачки задатак у драмском, перформативном или аудиовизуелном делу које се први пут изводи или приказује у земљи или иностранству. Учешће у уметничким пројектима који нису обухваћени категоријама У12 и У13.</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4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в) Ликовне уметности</w:t>
            </w: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56" w:lineRule="auto"/>
              <w:ind w:left="347" w:right="29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Реализовање репрезентативних уметничких дела, као иопсежних уметничких пројеката из области ликовних или сродних уметничких и интердисциплинарних области, у сарадњи са другим уметничким и/или научним областима.“</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4" w:lineRule="auto"/>
              <w:ind w:left="34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г) Примењене уметности и дизајн</w:t>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34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Јавно представљен идејни пројекат из пројектантских области.</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perscript"/>
                <w:rtl w:val="0"/>
              </w:rPr>
              <w:t xml:space="preserve">8</w:t>
            </w:r>
            <w:r w:rsidDel="00000000" w:rsidR="00000000" w:rsidRPr="00000000">
              <w:rPr>
                <w:rtl w:val="0"/>
              </w:rPr>
            </w:r>
          </w:p>
        </w:tc>
      </w:tr>
      <w:tr>
        <w:trPr>
          <w:cantSplit w:val="0"/>
          <w:trHeight w:val="2611" w:hRule="atLeast"/>
          <w:tblHeader w:val="0"/>
        </w:trPr>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У42</w:t>
            </w:r>
          </w:p>
        </w:tc>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34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 Музичка уметност</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347"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Композиторско стваралаштво:</w:t>
            </w:r>
          </w:p>
          <w:p w:rsidR="00000000" w:rsidDel="00000000" w:rsidP="00000000" w:rsidRDefault="00000000" w:rsidRPr="00000000" w14:paraId="000000A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27"/>
                <w:tab w:val="left" w:pos="828"/>
              </w:tabs>
              <w:spacing w:after="0" w:before="0" w:line="293.00000000000006" w:lineRule="auto"/>
              <w:ind w:left="347" w:right="0" w:firstLine="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остала јавна извођења референци из категорија У12, У13 и У41.</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347"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Извођачке уметности:</w:t>
            </w:r>
          </w:p>
          <w:p w:rsidR="00000000" w:rsidDel="00000000" w:rsidP="00000000" w:rsidRDefault="00000000" w:rsidRPr="00000000" w14:paraId="000000A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27"/>
                <w:tab w:val="left" w:pos="828"/>
              </w:tabs>
              <w:spacing w:after="0" w:before="0" w:line="254" w:lineRule="auto"/>
              <w:ind w:left="347" w:right="1608" w:firstLine="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остала јавна извођења референци из категорија У12, У13 и У41 и појединачни наступи на концертима</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34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б) Драмске и аудиовизуелне уметности</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34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Извођењесамосталног ауторског уметничког дела у ванинституционалној</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4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продукцији,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ad hoc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групи или независној уметничкој галерији (алтернативном</w:t>
            </w:r>
          </w:p>
        </w:tc>
      </w:tr>
    </w:tbl>
    <w:p w:rsidR="00000000" w:rsidDel="00000000" w:rsidP="00000000" w:rsidRDefault="00000000" w:rsidRPr="00000000" w14:paraId="000000A6">
      <w:pPr>
        <w:jc w:val="both"/>
        <w:rPr>
          <w:rFonts w:ascii="Times New Roman" w:cs="Times New Roman" w:eastAsia="Times New Roman" w:hAnsi="Times New Roman"/>
          <w:b w:val="1"/>
          <w:smallCaps w:val="1"/>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b w:val="1"/>
          <w:smallCaps w:val="1"/>
        </w:rPr>
      </w:pPr>
      <w:r w:rsidDel="00000000" w:rsidR="00000000" w:rsidRPr="00000000">
        <w:br w:type="page"/>
      </w:r>
      <w:r w:rsidDel="00000000" w:rsidR="00000000" w:rsidRPr="00000000">
        <w:rPr>
          <w:rtl w:val="0"/>
        </w:rPr>
      </w:r>
    </w:p>
    <w:tbl>
      <w:tblPr>
        <w:tblStyle w:val="Table7"/>
        <w:tblW w:w="10128.0" w:type="dxa"/>
        <w:jc w:val="left"/>
        <w:tblInd w:w="1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
        <w:gridCol w:w="9136"/>
        <w:tblGridChange w:id="0">
          <w:tblGrid>
            <w:gridCol w:w="992"/>
            <w:gridCol w:w="9136"/>
          </w:tblGrid>
        </w:tblGridChange>
      </w:tblGrid>
      <w:tr>
        <w:trPr>
          <w:cantSplit w:val="0"/>
          <w:trHeight w:val="2649" w:hRule="atLeast"/>
          <w:tblHeader w:val="0"/>
        </w:trPr>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4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простору) које својим уметничким квалитетом и/или друштвеним ангажманом постаје референтно уметничко дело.</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в) Ликовне уметности</w:t>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56" w:lineRule="auto"/>
              <w:ind w:left="347" w:right="60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Ванинституционална реализација самосталног ауторског уметничког дела, које својим уметничким квалитетом и/или друштвеним ангажманом постаје</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34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референтно уметничко дело (високо оцењено од уметничке заједнице и критике).</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34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г) Примењене уметности и дизајн</w:t>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91.99999999999994" w:lineRule="auto"/>
              <w:ind w:left="34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Учешће у пројектном тиму у области очувања културног наслеђа, рестаурације и конзервације.</w:t>
            </w:r>
          </w:p>
        </w:tc>
      </w:tr>
    </w:tbl>
    <w:p w:rsidR="00000000" w:rsidDel="00000000" w:rsidP="00000000" w:rsidRDefault="00000000" w:rsidRPr="00000000" w14:paraId="000000AF">
      <w:pPr>
        <w:jc w:val="both"/>
        <w:rPr>
          <w:rFonts w:ascii="Times New Roman" w:cs="Times New Roman" w:eastAsia="Times New Roman" w:hAnsi="Times New Roman"/>
          <w:b w:val="1"/>
          <w:smallCaps w:val="1"/>
        </w:rPr>
      </w:pPr>
      <w:r w:rsidDel="00000000" w:rsidR="00000000" w:rsidRPr="00000000">
        <w:rPr>
          <w:rtl w:val="0"/>
        </w:rPr>
      </w:r>
    </w:p>
    <w:tbl>
      <w:tblPr>
        <w:tblStyle w:val="Table8"/>
        <w:tblW w:w="10127.0" w:type="dxa"/>
        <w:jc w:val="left"/>
        <w:tblInd w:w="1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4"/>
        <w:gridCol w:w="9073"/>
        <w:tblGridChange w:id="0">
          <w:tblGrid>
            <w:gridCol w:w="1054"/>
            <w:gridCol w:w="9073"/>
          </w:tblGrid>
        </w:tblGridChange>
      </w:tblGrid>
      <w:tr>
        <w:trPr>
          <w:cantSplit w:val="0"/>
          <w:trHeight w:val="638" w:hRule="atLeast"/>
          <w:tblHeader w:val="0"/>
        </w:trPr>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У50</w:t>
            </w:r>
          </w:p>
        </w:tc>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10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РЕПРЕЗЕНТАТИВНА УМЕТНИЧКА ИСТРАЖИВАЊА</w:t>
            </w:r>
          </w:p>
        </w:tc>
      </w:tr>
      <w:tr>
        <w:trPr>
          <w:cantSplit w:val="0"/>
          <w:trHeight w:val="1305" w:hRule="atLeast"/>
          <w:tblHeader w:val="0"/>
        </w:trPr>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У51</w:t>
            </w:r>
          </w:p>
        </w:tc>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0" w:right="14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Уметничко истраживање (монодисциплинарно, интердисциплинарно, мултидисциплинарно или трансдисциплинарно) чији су резултати објављени у релевантним публикацијама или у форми писаног рада докторског уметничког пројекта.</w:t>
            </w:r>
          </w:p>
        </w:tc>
      </w:tr>
      <w:tr>
        <w:trPr>
          <w:cantSplit w:val="0"/>
          <w:trHeight w:val="1026" w:hRule="atLeast"/>
          <w:tblHeader w:val="0"/>
        </w:trPr>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У52</w:t>
            </w:r>
          </w:p>
        </w:tc>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32" w:lineRule="auto"/>
              <w:ind w:left="100" w:right="15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Експликација уметничког истраживања при реализацији референце из категорија У10 (за све уметничке области)</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perscript"/>
                <w:rtl w:val="0"/>
              </w:rPr>
              <w:t xml:space="preserve">9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са припадајућом документацијом о јавном представљању дела/ пројекта.</w:t>
            </w:r>
          </w:p>
        </w:tc>
      </w:tr>
      <w:tr>
        <w:trPr>
          <w:cantSplit w:val="0"/>
          <w:trHeight w:val="604" w:hRule="atLeast"/>
          <w:tblHeader w:val="0"/>
        </w:trPr>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У53</w:t>
            </w:r>
          </w:p>
        </w:tc>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Учешће на домаћим и међународним конференцијама, симпозијумима, конгресима.</w:t>
            </w:r>
          </w:p>
        </w:tc>
      </w:tr>
      <w:tr>
        <w:trPr>
          <w:cantSplit w:val="0"/>
          <w:trHeight w:val="556" w:hRule="atLeast"/>
          <w:tblHeader w:val="0"/>
        </w:trPr>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У54</w:t>
            </w:r>
          </w:p>
        </w:tc>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Цитираност аутора (хетероцитатност).</w:t>
            </w:r>
          </w:p>
        </w:tc>
      </w:tr>
    </w:tbl>
    <w:p w:rsidR="00000000" w:rsidDel="00000000" w:rsidP="00000000" w:rsidRDefault="00000000" w:rsidRPr="00000000" w14:paraId="000000BA">
      <w:pPr>
        <w:jc w:val="both"/>
        <w:rPr>
          <w:rFonts w:ascii="Times New Roman" w:cs="Times New Roman" w:eastAsia="Times New Roman" w:hAnsi="Times New Roman"/>
          <w:b w:val="1"/>
          <w:smallCaps w:val="1"/>
        </w:rPr>
      </w:pPr>
      <w:r w:rsidDel="00000000" w:rsidR="00000000" w:rsidRPr="00000000">
        <w:rPr>
          <w:rtl w:val="0"/>
        </w:rPr>
      </w:r>
    </w:p>
    <w:p w:rsidR="00000000" w:rsidDel="00000000" w:rsidP="00000000" w:rsidRDefault="00000000" w:rsidRPr="00000000" w14:paraId="000000B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I.1 РЕПРЕЗЕНТАТИВНЕ РЕФЕРЕНЦЕ НАСТАВНИКА У ПОЉУ УМЕТНОСТИ</w:t>
      </w:r>
    </w:p>
    <w:p w:rsidR="00000000" w:rsidDel="00000000" w:rsidP="00000000" w:rsidRDefault="00000000" w:rsidRPr="00000000" w14:paraId="000000B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Компетенције за извођење наставе на предметима који припадају пољу уметности или на ИМТ предметима са са најмање једном главном облашћу из поља уметности на  докторским академским студијама уметности, ИМТ докторским академским студијама са најмање једном главном облашћу из поља уметности, као и докторским академским  студијама које у свом програму имају уметничке предмете,  доказују се списком референци из уже уметничке области за коју је наставник биран и то: </w:t>
      </w:r>
    </w:p>
    <w:p w:rsidR="00000000" w:rsidDel="00000000" w:rsidP="00000000" w:rsidRDefault="00000000" w:rsidRPr="00000000" w14:paraId="000000BE">
      <w:pPr>
        <w:numPr>
          <w:ilvl w:val="0"/>
          <w:numId w:val="5"/>
        </w:numPr>
        <w:spacing w:after="0" w:line="240" w:lineRule="auto"/>
        <w:ind w:left="780" w:hanging="360"/>
        <w:jc w:val="both"/>
        <w:rPr/>
      </w:pPr>
      <w:r w:rsidDel="00000000" w:rsidR="00000000" w:rsidRPr="00000000">
        <w:rPr>
          <w:rFonts w:ascii="Times New Roman" w:cs="Times New Roman" w:eastAsia="Times New Roman" w:hAnsi="Times New Roman"/>
          <w:rtl w:val="0"/>
        </w:rPr>
        <w:t xml:space="preserve">најмање 10 референци остварених у претходних десет година из категорија У10/У20/У31/У40/У51 при чему из категорије У10 најмање 3, односно 20 референци из категорије У10 остварених током целокупног опуса од којих највише 5 може да се замени референцама из категорије У20 и/или У51 у односу једaн на један; </w:t>
      </w:r>
    </w:p>
    <w:p w:rsidR="00000000" w:rsidDel="00000000" w:rsidP="00000000" w:rsidRDefault="00000000" w:rsidRPr="00000000" w14:paraId="000000BF">
      <w:pPr>
        <w:numPr>
          <w:ilvl w:val="0"/>
          <w:numId w:val="5"/>
        </w:numPr>
        <w:spacing w:after="0" w:line="240" w:lineRule="auto"/>
        <w:ind w:left="780" w:hanging="360"/>
        <w:jc w:val="both"/>
        <w:rPr/>
      </w:pPr>
      <w:r w:rsidDel="00000000" w:rsidR="00000000" w:rsidRPr="00000000">
        <w:rPr>
          <w:rFonts w:ascii="Times New Roman" w:cs="Times New Roman" w:eastAsia="Times New Roman" w:hAnsi="Times New Roman"/>
          <w:rtl w:val="0"/>
        </w:rPr>
        <w:t xml:space="preserve"> учешће у домаћим и међународним уметничким и/или интердисциплинарним пројектима. </w:t>
      </w:r>
    </w:p>
    <w:p w:rsidR="00000000" w:rsidDel="00000000" w:rsidP="00000000" w:rsidRDefault="00000000" w:rsidRPr="00000000" w14:paraId="000000C0">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Наставник, који изводи наставу из предмета који није из поља уметности, на докторским студијама уметности као и ИМТ докторским академским студијама са најмање једном главном облашћу из поља уметности,  мора да има компетенције из  своје научне области, у складу са стандардима за акредитацију </w:t>
      </w:r>
      <w:r w:rsidDel="00000000" w:rsidR="00000000" w:rsidRPr="00000000">
        <w:rPr>
          <w:rFonts w:ascii="Times New Roman" w:cs="Times New Roman" w:eastAsia="Times New Roman" w:hAnsi="Times New Roman"/>
          <w:b w:val="1"/>
          <w:rtl w:val="0"/>
        </w:rPr>
        <w:t xml:space="preserve">докторских академских студија у образовно-научним пољима.</w:t>
      </w:r>
    </w:p>
    <w:p w:rsidR="00000000" w:rsidDel="00000000" w:rsidP="00000000" w:rsidRDefault="00000000" w:rsidRPr="00000000" w14:paraId="000000C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C4">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I.2 КОМПЕТЕНТНОСТ МЕНТОРА НА ДОКТОРСКИМ АКАДЕМСКИМ СТУДИЈАМА УМЕТНОСТИ, ИМТ ДОКТОРСКИМ АКАДЕМСКИМ СТУДИЈАМА СА НАЈМАЊЕ ЈЕДНОМ ГЛАВНОМ ОБЛАШЋУ ИЗ ПОЉА УМЕТНОСТИ</w:t>
      </w:r>
    </w:p>
    <w:p w:rsidR="00000000" w:rsidDel="00000000" w:rsidP="00000000" w:rsidRDefault="00000000" w:rsidRPr="00000000" w14:paraId="000000C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Ментор на докторским академским студијама у пољу уметности, као и ИМТ докторским академским студијама са најмање једном главном облашћу из поља уметности може бити: доктор уметности, редовни професор, професор емеритус, члан САНУ у радном саставу, који је пре пензионисања имао наставно звање из одговарајуће уже уметничке области из које је студијски програм или модул и уметнички пројекат. </w:t>
      </w:r>
    </w:p>
    <w:p w:rsidR="00000000" w:rsidDel="00000000" w:rsidP="00000000" w:rsidRDefault="00000000" w:rsidRPr="00000000" w14:paraId="000000C7">
      <w:pPr>
        <w:numPr>
          <w:ilvl w:val="0"/>
          <w:numId w:val="5"/>
        </w:numPr>
        <w:spacing w:after="0" w:line="240" w:lineRule="auto"/>
        <w:ind w:left="780" w:hanging="360"/>
        <w:jc w:val="both"/>
        <w:rPr/>
      </w:pPr>
      <w:r w:rsidDel="00000000" w:rsidR="00000000" w:rsidRPr="00000000">
        <w:rPr>
          <w:rFonts w:ascii="Times New Roman" w:cs="Times New Roman" w:eastAsia="Times New Roman" w:hAnsi="Times New Roman"/>
          <w:rtl w:val="0"/>
        </w:rPr>
        <w:t xml:space="preserve"> Ментор има најмање 10 референци остварених у претходних десет година из категорија У10/У20/У31/У40/У51 при чему из категорије У10 најмање 5 односно 20 референци из категорије У10 остварених током целокупног опуса од којих највише 5 може да се замени референцама из категорије У20 и/или У51 у односу један на један; </w:t>
      </w:r>
    </w:p>
    <w:p w:rsidR="00000000" w:rsidDel="00000000" w:rsidP="00000000" w:rsidRDefault="00000000" w:rsidRPr="00000000" w14:paraId="000000C8">
      <w:pPr>
        <w:numPr>
          <w:ilvl w:val="0"/>
          <w:numId w:val="5"/>
        </w:numPr>
        <w:spacing w:after="0" w:line="240" w:lineRule="auto"/>
        <w:ind w:left="780" w:hanging="360"/>
        <w:jc w:val="both"/>
        <w:rPr/>
      </w:pPr>
      <w:r w:rsidDel="00000000" w:rsidR="00000000" w:rsidRPr="00000000">
        <w:rPr>
          <w:rFonts w:ascii="Times New Roman" w:cs="Times New Roman" w:eastAsia="Times New Roman" w:hAnsi="Times New Roman"/>
          <w:rtl w:val="0"/>
        </w:rPr>
        <w:t xml:space="preserve"> Учешће у домаћим и међународним уметничким или интердисциплинарним пројектима. </w:t>
      </w:r>
    </w:p>
    <w:p w:rsidR="00000000" w:rsidDel="00000000" w:rsidP="00000000" w:rsidRDefault="00000000" w:rsidRPr="00000000" w14:paraId="000000C9">
      <w:pPr>
        <w:numPr>
          <w:ilvl w:val="0"/>
          <w:numId w:val="5"/>
        </w:numPr>
        <w:spacing w:after="0" w:line="240" w:lineRule="auto"/>
        <w:ind w:left="780" w:hanging="360"/>
        <w:jc w:val="both"/>
        <w:rPr/>
      </w:pPr>
      <w:r w:rsidDel="00000000" w:rsidR="00000000" w:rsidRPr="00000000">
        <w:rPr>
          <w:rFonts w:ascii="Times New Roman" w:cs="Times New Roman" w:eastAsia="Times New Roman" w:hAnsi="Times New Roman"/>
          <w:rtl w:val="0"/>
        </w:rPr>
        <w:t xml:space="preserve">Ментор може да води рад на највише пет докторских уметничких пројеката истовремено</w:t>
      </w:r>
    </w:p>
    <w:p w:rsidR="00000000" w:rsidDel="00000000" w:rsidP="00000000" w:rsidRDefault="00000000" w:rsidRPr="00000000" w14:paraId="000000CA">
      <w:pPr>
        <w:spacing w:after="0" w:line="240" w:lineRule="auto"/>
        <w:jc w:val="both"/>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CB">
      <w:pPr>
        <w:spacing w:after="0" w:line="240" w:lineRule="auto"/>
        <w:jc w:val="both"/>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CC">
      <w:pPr>
        <w:spacing w:after="0" w:line="240" w:lineRule="auto"/>
        <w:jc w:val="both"/>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CD">
      <w:pPr>
        <w:jc w:val="both"/>
        <w:rPr>
          <w:rFonts w:ascii="Times New Roman" w:cs="Times New Roman" w:eastAsia="Times New Roman" w:hAnsi="Times New Roman"/>
          <w:b w:val="1"/>
          <w:smallCaps w:val="1"/>
          <w:color w:val="ff0000"/>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Noto Sans Symbols"/>
  <w:font w:name="Courier New"/>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313" w:right="102"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Драмско, перформативно или аудиовизуелно уметничко дело односи се на продукцију и/или извођење позоришне представe, плесне представе, перформанса, балета, опере, филма (играног, документарног, експерименталног, наменског), видео рада, телевизијске емисије, радио емисије и друге радиофонскеформе, синкретичког програма, инсталације, вишемедијске форме, видео игре, интерактивне, дигиталне, новомедијске, партиципативне, концептуалне и критичке праксе, као и других пројеката у области драмских, перформативних и аудиовизуелних уметности, као и у области интердисциплинарог стваралаштва.</w:t>
      </w:r>
    </w:p>
  </w:footnote>
  <w:footnote w:id="1">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2" w:lineRule="auto"/>
        <w:ind w:left="313" w:right="102"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Референтне институције су музеји, галерије и платформе у земљи и иностранству, које дефинише континуирана квалитетна и обимна активност у широком пољу ликовних уметности; које имају савет галерије, уметнички жири, кустоски тим, програмски тим, али и капацитет да квалитетом излагачког простора омогући представљање репрезентативних уметничких пројектата и које су својом праксом, домаћим и међународним ангажманом потврдиле своју референтност.</w:t>
      </w:r>
    </w:p>
  </w:footnote>
  <w:footnote w:id="2">
    <w:p w:rsidR="00000000" w:rsidDel="00000000" w:rsidP="00000000" w:rsidRDefault="00000000" w:rsidRPr="00000000" w14:paraId="000000D0">
      <w:pPr>
        <w:pStyle w:val="Heading1"/>
        <w:spacing w:line="223" w:lineRule="auto"/>
        <w:ind w:firstLine="313"/>
        <w:rPr>
          <w:sz w:val="18"/>
          <w:szCs w:val="18"/>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18"/>
          <w:szCs w:val="18"/>
          <w:rtl w:val="0"/>
        </w:rPr>
        <w:t xml:space="preserve">„Премијерна презентација дела“ (за композицију):</w:t>
      </w:r>
    </w:p>
    <w:p w:rsidR="00000000" w:rsidDel="00000000" w:rsidP="00000000" w:rsidRDefault="00000000" w:rsidRPr="00000000" w14:paraId="000000D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880"/>
          <w:tab w:val="left" w:pos="881"/>
        </w:tabs>
        <w:spacing w:after="0" w:before="0" w:line="245" w:lineRule="auto"/>
        <w:ind w:left="313" w:right="0" w:firstLine="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Прво јавно извођење уметничког дела у јавности.</w:t>
      </w:r>
    </w:p>
    <w:p w:rsidR="00000000" w:rsidDel="00000000" w:rsidP="00000000" w:rsidRDefault="00000000" w:rsidRPr="00000000" w14:paraId="000000D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881"/>
        </w:tabs>
        <w:spacing w:after="0" w:before="0" w:line="240" w:lineRule="auto"/>
        <w:ind w:left="313" w:right="105"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Када је референца ауторски концерт, под „премиијерним“ извођењем сматра се искључиво концерт на коме по трајању више од половине композиција није претходно евалуирано као референца или део референце из категорије У11, У12 или У13.</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3">
    <w:p w:rsidR="00000000" w:rsidDel="00000000" w:rsidP="00000000" w:rsidRDefault="00000000" w:rsidRPr="00000000" w14:paraId="000000D4">
      <w:pPr>
        <w:pStyle w:val="Heading1"/>
        <w:spacing w:before="62" w:lineRule="auto"/>
        <w:ind w:firstLine="313"/>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„Премијерно извођење дела“ (за извођачке уметности):</w:t>
      </w:r>
    </w:p>
    <w:p w:rsidR="00000000" w:rsidDel="00000000" w:rsidP="00000000" w:rsidRDefault="00000000" w:rsidRPr="00000000" w14:paraId="000000D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880"/>
          <w:tab w:val="left" w:pos="881"/>
        </w:tabs>
        <w:spacing w:after="0" w:before="0" w:line="240" w:lineRule="auto"/>
        <w:ind w:left="313" w:right="111" w:firstLine="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Прво јавно извођење уметничког дела од стране наставника односно сарадника који пријављује референцу, а које никада пре није изведено у јавности.</w:t>
      </w:r>
    </w:p>
  </w:footnote>
  <w:footnote w:id="4">
    <w:p w:rsidR="00000000" w:rsidDel="00000000" w:rsidP="00000000" w:rsidRDefault="00000000" w:rsidRPr="00000000" w14:paraId="000000D6">
      <w:pPr>
        <w:spacing w:after="0" w:lineRule="auto"/>
        <w:ind w:left="312" w:firstLine="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b w:val="1"/>
          <w:sz w:val="18"/>
          <w:szCs w:val="18"/>
          <w:rtl w:val="0"/>
        </w:rPr>
        <w:t xml:space="preserve">„Премијерно извођење дела у Србији“ (за извођачке уметности)</w:t>
      </w:r>
      <w:r w:rsidDel="00000000" w:rsidR="00000000" w:rsidRPr="00000000">
        <w:rPr>
          <w:rFonts w:ascii="Times New Roman" w:cs="Times New Roman" w:eastAsia="Times New Roman" w:hAnsi="Times New Roman"/>
          <w:sz w:val="18"/>
          <w:szCs w:val="18"/>
          <w:rtl w:val="0"/>
        </w:rPr>
        <w:t xml:space="preserve">Прво јавно извођење уметничког дела од стране наставника односно сарадника који пријављује референцу, а које никада пре није јавно изведено у Србији.</w:t>
      </w:r>
      <w:r w:rsidDel="00000000" w:rsidR="00000000" w:rsidRPr="00000000">
        <w:rPr>
          <w:rtl w:val="0"/>
        </w:rPr>
      </w:r>
    </w:p>
  </w:footnote>
  <w:footnote w:id="5">
    <w:p w:rsidR="00000000" w:rsidDel="00000000" w:rsidP="00000000" w:rsidRDefault="00000000" w:rsidRPr="00000000" w14:paraId="000000D7">
      <w:pPr>
        <w:pStyle w:val="Heading1"/>
        <w:spacing w:line="231" w:lineRule="auto"/>
        <w:ind w:firstLine="313"/>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„Прво извођење дела“ (за извођачке уметности):</w:t>
      </w:r>
    </w:p>
    <w:p w:rsidR="00000000" w:rsidDel="00000000" w:rsidP="00000000" w:rsidRDefault="00000000" w:rsidRPr="00000000" w14:paraId="000000D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880"/>
          <w:tab w:val="left" w:pos="881"/>
        </w:tabs>
        <w:spacing w:after="0" w:before="13" w:line="237" w:lineRule="auto"/>
        <w:ind w:left="313" w:right="115" w:firstLine="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Прво јавно извођење уметничког дела од стране наставника односно сарадника који пријављује референцу, а које је већ било изведено у јавности.</w:t>
      </w:r>
    </w:p>
    <w:p w:rsidR="00000000" w:rsidDel="00000000" w:rsidP="00000000" w:rsidRDefault="00000000" w:rsidRPr="00000000" w14:paraId="000000D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881"/>
        </w:tabs>
        <w:spacing w:after="0" w:before="1" w:line="240" w:lineRule="auto"/>
        <w:ind w:left="313" w:right="112"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Када је референца целовечерњи концерт, односно реситал, под „првим“ извођењем сматра се искључиво концерт на коме више од половине композиција по трајању, није претходно евалуирано као референца или део референце из категорије У11, У12 или У13.</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ootnote>
  <w:footnote w:id="6">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313" w:right="104"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Jавно, репрезентативно излагање односно приказивање уметничког дела, артефакта, догађаја, ситуација или пројекта из области ликовних уметности у ужем смислу, као и у хибридним областима, (сликарских, графичких, вајарских, проширених, интер-, поли-, микст-, мулти-, пост-, a-медија, монодисциплинарно, интердисциплинарно, мултидисциплинарно или трансдисциплинарно) у урбаном и/или слободном простору (site-specific) или у другим јавним просторима (електронски и штампани медији, и друге уметничке и документационе базе података) у земљи и иностранству.</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301" w:hanging="524"/>
      </w:pPr>
      <w:rPr>
        <w:rFonts w:ascii="Noto Sans Symbols" w:cs="Noto Sans Symbols" w:eastAsia="Noto Sans Symbols" w:hAnsi="Noto Sans Symbols"/>
        <w:sz w:val="24"/>
        <w:szCs w:val="24"/>
      </w:rPr>
    </w:lvl>
    <w:lvl w:ilvl="1">
      <w:start w:val="0"/>
      <w:numFmt w:val="bullet"/>
      <w:lvlText w:val="•"/>
      <w:lvlJc w:val="left"/>
      <w:pPr>
        <w:ind w:left="1182" w:hanging="523.9999999999999"/>
      </w:pPr>
      <w:rPr/>
    </w:lvl>
    <w:lvl w:ilvl="2">
      <w:start w:val="0"/>
      <w:numFmt w:val="bullet"/>
      <w:lvlText w:val="•"/>
      <w:lvlJc w:val="left"/>
      <w:pPr>
        <w:ind w:left="2065" w:hanging="524"/>
      </w:pPr>
      <w:rPr/>
    </w:lvl>
    <w:lvl w:ilvl="3">
      <w:start w:val="0"/>
      <w:numFmt w:val="bullet"/>
      <w:lvlText w:val="•"/>
      <w:lvlJc w:val="left"/>
      <w:pPr>
        <w:ind w:left="2947" w:hanging="524"/>
      </w:pPr>
      <w:rPr/>
    </w:lvl>
    <w:lvl w:ilvl="4">
      <w:start w:val="0"/>
      <w:numFmt w:val="bullet"/>
      <w:lvlText w:val="•"/>
      <w:lvlJc w:val="left"/>
      <w:pPr>
        <w:ind w:left="3830" w:hanging="524"/>
      </w:pPr>
      <w:rPr/>
    </w:lvl>
    <w:lvl w:ilvl="5">
      <w:start w:val="0"/>
      <w:numFmt w:val="bullet"/>
      <w:lvlText w:val="•"/>
      <w:lvlJc w:val="left"/>
      <w:pPr>
        <w:ind w:left="4713" w:hanging="524"/>
      </w:pPr>
      <w:rPr/>
    </w:lvl>
    <w:lvl w:ilvl="6">
      <w:start w:val="0"/>
      <w:numFmt w:val="bullet"/>
      <w:lvlText w:val="•"/>
      <w:lvlJc w:val="left"/>
      <w:pPr>
        <w:ind w:left="5595" w:hanging="524"/>
      </w:pPr>
      <w:rPr/>
    </w:lvl>
    <w:lvl w:ilvl="7">
      <w:start w:val="0"/>
      <w:numFmt w:val="bullet"/>
      <w:lvlText w:val="•"/>
      <w:lvlJc w:val="left"/>
      <w:pPr>
        <w:ind w:left="6478" w:hanging="524"/>
      </w:pPr>
      <w:rPr/>
    </w:lvl>
    <w:lvl w:ilvl="8">
      <w:start w:val="0"/>
      <w:numFmt w:val="bullet"/>
      <w:lvlText w:val="•"/>
      <w:lvlJc w:val="left"/>
      <w:pPr>
        <w:ind w:left="7360" w:hanging="524"/>
      </w:pPr>
      <w:rPr/>
    </w:lvl>
  </w:abstractNum>
  <w:abstractNum w:abstractNumId="2">
    <w:lvl w:ilvl="0">
      <w:start w:val="0"/>
      <w:numFmt w:val="bullet"/>
      <w:lvlText w:val="●"/>
      <w:lvlJc w:val="left"/>
      <w:pPr>
        <w:ind w:left="335" w:hanging="384"/>
      </w:pPr>
      <w:rPr>
        <w:rFonts w:ascii="Noto Sans Symbols" w:cs="Noto Sans Symbols" w:eastAsia="Noto Sans Symbols" w:hAnsi="Noto Sans Symbols"/>
        <w:sz w:val="24"/>
        <w:szCs w:val="24"/>
      </w:rPr>
    </w:lvl>
    <w:lvl w:ilvl="1">
      <w:start w:val="0"/>
      <w:numFmt w:val="bullet"/>
      <w:lvlText w:val="•"/>
      <w:lvlJc w:val="left"/>
      <w:pPr>
        <w:ind w:left="1218" w:hanging="384"/>
      </w:pPr>
      <w:rPr/>
    </w:lvl>
    <w:lvl w:ilvl="2">
      <w:start w:val="0"/>
      <w:numFmt w:val="bullet"/>
      <w:lvlText w:val="•"/>
      <w:lvlJc w:val="left"/>
      <w:pPr>
        <w:ind w:left="2097" w:hanging="384.0000000000002"/>
      </w:pPr>
      <w:rPr/>
    </w:lvl>
    <w:lvl w:ilvl="3">
      <w:start w:val="0"/>
      <w:numFmt w:val="bullet"/>
      <w:lvlText w:val="•"/>
      <w:lvlJc w:val="left"/>
      <w:pPr>
        <w:ind w:left="2975" w:hanging="384"/>
      </w:pPr>
      <w:rPr/>
    </w:lvl>
    <w:lvl w:ilvl="4">
      <w:start w:val="0"/>
      <w:numFmt w:val="bullet"/>
      <w:lvlText w:val="•"/>
      <w:lvlJc w:val="left"/>
      <w:pPr>
        <w:ind w:left="3854" w:hanging="384"/>
      </w:pPr>
      <w:rPr/>
    </w:lvl>
    <w:lvl w:ilvl="5">
      <w:start w:val="0"/>
      <w:numFmt w:val="bullet"/>
      <w:lvlText w:val="•"/>
      <w:lvlJc w:val="left"/>
      <w:pPr>
        <w:ind w:left="4733" w:hanging="384"/>
      </w:pPr>
      <w:rPr/>
    </w:lvl>
    <w:lvl w:ilvl="6">
      <w:start w:val="0"/>
      <w:numFmt w:val="bullet"/>
      <w:lvlText w:val="•"/>
      <w:lvlJc w:val="left"/>
      <w:pPr>
        <w:ind w:left="5611" w:hanging="384"/>
      </w:pPr>
      <w:rPr/>
    </w:lvl>
    <w:lvl w:ilvl="7">
      <w:start w:val="0"/>
      <w:numFmt w:val="bullet"/>
      <w:lvlText w:val="•"/>
      <w:lvlJc w:val="left"/>
      <w:pPr>
        <w:ind w:left="6490" w:hanging="384"/>
      </w:pPr>
      <w:rPr/>
    </w:lvl>
    <w:lvl w:ilvl="8">
      <w:start w:val="0"/>
      <w:numFmt w:val="bullet"/>
      <w:lvlText w:val="•"/>
      <w:lvlJc w:val="left"/>
      <w:pPr>
        <w:ind w:left="7368" w:hanging="384"/>
      </w:pPr>
      <w:rPr/>
    </w:lvl>
  </w:abstractNum>
  <w:abstractNum w:abstractNumId="3">
    <w:lvl w:ilvl="0">
      <w:start w:val="0"/>
      <w:numFmt w:val="bullet"/>
      <w:lvlText w:val="●"/>
      <w:lvlJc w:val="left"/>
      <w:pPr>
        <w:ind w:left="347" w:hanging="480"/>
      </w:pPr>
      <w:rPr>
        <w:rFonts w:ascii="Noto Sans Symbols" w:cs="Noto Sans Symbols" w:eastAsia="Noto Sans Symbols" w:hAnsi="Noto Sans Symbols"/>
        <w:sz w:val="24"/>
        <w:szCs w:val="24"/>
      </w:rPr>
    </w:lvl>
    <w:lvl w:ilvl="1">
      <w:start w:val="0"/>
      <w:numFmt w:val="bullet"/>
      <w:lvlText w:val="•"/>
      <w:lvlJc w:val="left"/>
      <w:pPr>
        <w:ind w:left="1218" w:hanging="480"/>
      </w:pPr>
      <w:rPr/>
    </w:lvl>
    <w:lvl w:ilvl="2">
      <w:start w:val="0"/>
      <w:numFmt w:val="bullet"/>
      <w:lvlText w:val="•"/>
      <w:lvlJc w:val="left"/>
      <w:pPr>
        <w:ind w:left="2097" w:hanging="480"/>
      </w:pPr>
      <w:rPr/>
    </w:lvl>
    <w:lvl w:ilvl="3">
      <w:start w:val="0"/>
      <w:numFmt w:val="bullet"/>
      <w:lvlText w:val="•"/>
      <w:lvlJc w:val="left"/>
      <w:pPr>
        <w:ind w:left="2975" w:hanging="480"/>
      </w:pPr>
      <w:rPr/>
    </w:lvl>
    <w:lvl w:ilvl="4">
      <w:start w:val="0"/>
      <w:numFmt w:val="bullet"/>
      <w:lvlText w:val="•"/>
      <w:lvlJc w:val="left"/>
      <w:pPr>
        <w:ind w:left="3854" w:hanging="480"/>
      </w:pPr>
      <w:rPr/>
    </w:lvl>
    <w:lvl w:ilvl="5">
      <w:start w:val="0"/>
      <w:numFmt w:val="bullet"/>
      <w:lvlText w:val="•"/>
      <w:lvlJc w:val="left"/>
      <w:pPr>
        <w:ind w:left="4733" w:hanging="480"/>
      </w:pPr>
      <w:rPr/>
    </w:lvl>
    <w:lvl w:ilvl="6">
      <w:start w:val="0"/>
      <w:numFmt w:val="bullet"/>
      <w:lvlText w:val="•"/>
      <w:lvlJc w:val="left"/>
      <w:pPr>
        <w:ind w:left="5611" w:hanging="480"/>
      </w:pPr>
      <w:rPr/>
    </w:lvl>
    <w:lvl w:ilvl="7">
      <w:start w:val="0"/>
      <w:numFmt w:val="bullet"/>
      <w:lvlText w:val="•"/>
      <w:lvlJc w:val="left"/>
      <w:pPr>
        <w:ind w:left="6490" w:hanging="480"/>
      </w:pPr>
      <w:rPr/>
    </w:lvl>
    <w:lvl w:ilvl="8">
      <w:start w:val="0"/>
      <w:numFmt w:val="bullet"/>
      <w:lvlText w:val="•"/>
      <w:lvlJc w:val="left"/>
      <w:pPr>
        <w:ind w:left="7368" w:hanging="480"/>
      </w:pPr>
      <w:rPr/>
    </w:lvl>
  </w:abstractNum>
  <w:abstractNum w:abstractNumId="4">
    <w:lvl w:ilvl="0">
      <w:start w:val="0"/>
      <w:numFmt w:val="bullet"/>
      <w:lvlText w:val="●"/>
      <w:lvlJc w:val="left"/>
      <w:pPr>
        <w:ind w:left="347" w:hanging="480"/>
      </w:pPr>
      <w:rPr>
        <w:rFonts w:ascii="Noto Sans Symbols" w:cs="Noto Sans Symbols" w:eastAsia="Noto Sans Symbols" w:hAnsi="Noto Sans Symbols"/>
        <w:sz w:val="24"/>
        <w:szCs w:val="24"/>
      </w:rPr>
    </w:lvl>
    <w:lvl w:ilvl="1">
      <w:start w:val="0"/>
      <w:numFmt w:val="bullet"/>
      <w:lvlText w:val="•"/>
      <w:lvlJc w:val="left"/>
      <w:pPr>
        <w:ind w:left="1218" w:hanging="480"/>
      </w:pPr>
      <w:rPr/>
    </w:lvl>
    <w:lvl w:ilvl="2">
      <w:start w:val="0"/>
      <w:numFmt w:val="bullet"/>
      <w:lvlText w:val="•"/>
      <w:lvlJc w:val="left"/>
      <w:pPr>
        <w:ind w:left="2097" w:hanging="480"/>
      </w:pPr>
      <w:rPr/>
    </w:lvl>
    <w:lvl w:ilvl="3">
      <w:start w:val="0"/>
      <w:numFmt w:val="bullet"/>
      <w:lvlText w:val="•"/>
      <w:lvlJc w:val="left"/>
      <w:pPr>
        <w:ind w:left="2975" w:hanging="480"/>
      </w:pPr>
      <w:rPr/>
    </w:lvl>
    <w:lvl w:ilvl="4">
      <w:start w:val="0"/>
      <w:numFmt w:val="bullet"/>
      <w:lvlText w:val="•"/>
      <w:lvlJc w:val="left"/>
      <w:pPr>
        <w:ind w:left="3854" w:hanging="480"/>
      </w:pPr>
      <w:rPr/>
    </w:lvl>
    <w:lvl w:ilvl="5">
      <w:start w:val="0"/>
      <w:numFmt w:val="bullet"/>
      <w:lvlText w:val="•"/>
      <w:lvlJc w:val="left"/>
      <w:pPr>
        <w:ind w:left="4733" w:hanging="480"/>
      </w:pPr>
      <w:rPr/>
    </w:lvl>
    <w:lvl w:ilvl="6">
      <w:start w:val="0"/>
      <w:numFmt w:val="bullet"/>
      <w:lvlText w:val="•"/>
      <w:lvlJc w:val="left"/>
      <w:pPr>
        <w:ind w:left="5611" w:hanging="480"/>
      </w:pPr>
      <w:rPr/>
    </w:lvl>
    <w:lvl w:ilvl="7">
      <w:start w:val="0"/>
      <w:numFmt w:val="bullet"/>
      <w:lvlText w:val="•"/>
      <w:lvlJc w:val="left"/>
      <w:pPr>
        <w:ind w:left="6490" w:hanging="480"/>
      </w:pPr>
      <w:rPr/>
    </w:lvl>
    <w:lvl w:ilvl="8">
      <w:start w:val="0"/>
      <w:numFmt w:val="bullet"/>
      <w:lvlText w:val="•"/>
      <w:lvlJc w:val="left"/>
      <w:pPr>
        <w:ind w:left="7368" w:hanging="480"/>
      </w:pPr>
      <w:rPr/>
    </w:lvl>
  </w:abstractNum>
  <w:abstractNum w:abstractNumId="5">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6">
    <w:lvl w:ilvl="0">
      <w:start w:val="0"/>
      <w:numFmt w:val="bullet"/>
      <w:lvlText w:val="●"/>
      <w:lvlJc w:val="left"/>
      <w:pPr>
        <w:ind w:left="301" w:hanging="524"/>
      </w:pPr>
      <w:rPr>
        <w:rFonts w:ascii="Noto Sans Symbols" w:cs="Noto Sans Symbols" w:eastAsia="Noto Sans Symbols" w:hAnsi="Noto Sans Symbols"/>
        <w:sz w:val="24"/>
        <w:szCs w:val="24"/>
      </w:rPr>
    </w:lvl>
    <w:lvl w:ilvl="1">
      <w:start w:val="0"/>
      <w:numFmt w:val="bullet"/>
      <w:lvlText w:val="•"/>
      <w:lvlJc w:val="left"/>
      <w:pPr>
        <w:ind w:left="1182" w:hanging="523.9999999999999"/>
      </w:pPr>
      <w:rPr/>
    </w:lvl>
    <w:lvl w:ilvl="2">
      <w:start w:val="0"/>
      <w:numFmt w:val="bullet"/>
      <w:lvlText w:val="•"/>
      <w:lvlJc w:val="left"/>
      <w:pPr>
        <w:ind w:left="2065" w:hanging="524"/>
      </w:pPr>
      <w:rPr/>
    </w:lvl>
    <w:lvl w:ilvl="3">
      <w:start w:val="0"/>
      <w:numFmt w:val="bullet"/>
      <w:lvlText w:val="•"/>
      <w:lvlJc w:val="left"/>
      <w:pPr>
        <w:ind w:left="2947" w:hanging="524"/>
      </w:pPr>
      <w:rPr/>
    </w:lvl>
    <w:lvl w:ilvl="4">
      <w:start w:val="0"/>
      <w:numFmt w:val="bullet"/>
      <w:lvlText w:val="•"/>
      <w:lvlJc w:val="left"/>
      <w:pPr>
        <w:ind w:left="3830" w:hanging="524"/>
      </w:pPr>
      <w:rPr/>
    </w:lvl>
    <w:lvl w:ilvl="5">
      <w:start w:val="0"/>
      <w:numFmt w:val="bullet"/>
      <w:lvlText w:val="•"/>
      <w:lvlJc w:val="left"/>
      <w:pPr>
        <w:ind w:left="4713" w:hanging="524"/>
      </w:pPr>
      <w:rPr/>
    </w:lvl>
    <w:lvl w:ilvl="6">
      <w:start w:val="0"/>
      <w:numFmt w:val="bullet"/>
      <w:lvlText w:val="•"/>
      <w:lvlJc w:val="left"/>
      <w:pPr>
        <w:ind w:left="5595" w:hanging="524"/>
      </w:pPr>
      <w:rPr/>
    </w:lvl>
    <w:lvl w:ilvl="7">
      <w:start w:val="0"/>
      <w:numFmt w:val="bullet"/>
      <w:lvlText w:val="•"/>
      <w:lvlJc w:val="left"/>
      <w:pPr>
        <w:ind w:left="6478" w:hanging="524"/>
      </w:pPr>
      <w:rPr/>
    </w:lvl>
    <w:lvl w:ilvl="8">
      <w:start w:val="0"/>
      <w:numFmt w:val="bullet"/>
      <w:lvlText w:val="•"/>
      <w:lvlJc w:val="left"/>
      <w:pPr>
        <w:ind w:left="7360" w:hanging="524"/>
      </w:pPr>
      <w:rPr/>
    </w:lvl>
  </w:abstractNum>
  <w:abstractNum w:abstractNumId="7">
    <w:lvl w:ilvl="0">
      <w:start w:val="0"/>
      <w:numFmt w:val="bullet"/>
      <w:lvlText w:val="●"/>
      <w:lvlJc w:val="left"/>
      <w:pPr>
        <w:ind w:left="313" w:hanging="567"/>
      </w:pPr>
      <w:rPr>
        <w:rFonts w:ascii="Noto Sans Symbols" w:cs="Noto Sans Symbols" w:eastAsia="Noto Sans Symbols" w:hAnsi="Noto Sans Symbols"/>
        <w:sz w:val="20"/>
        <w:szCs w:val="20"/>
      </w:rPr>
    </w:lvl>
    <w:lvl w:ilvl="1">
      <w:start w:val="0"/>
      <w:numFmt w:val="bullet"/>
      <w:lvlText w:val="•"/>
      <w:lvlJc w:val="left"/>
      <w:pPr>
        <w:ind w:left="1350" w:hanging="567"/>
      </w:pPr>
      <w:rPr/>
    </w:lvl>
    <w:lvl w:ilvl="2">
      <w:start w:val="0"/>
      <w:numFmt w:val="bullet"/>
      <w:lvlText w:val="•"/>
      <w:lvlJc w:val="left"/>
      <w:pPr>
        <w:ind w:left="2381" w:hanging="567.0000000000002"/>
      </w:pPr>
      <w:rPr/>
    </w:lvl>
    <w:lvl w:ilvl="3">
      <w:start w:val="0"/>
      <w:numFmt w:val="bullet"/>
      <w:lvlText w:val="•"/>
      <w:lvlJc w:val="left"/>
      <w:pPr>
        <w:ind w:left="3411" w:hanging="566.9999999999995"/>
      </w:pPr>
      <w:rPr/>
    </w:lvl>
    <w:lvl w:ilvl="4">
      <w:start w:val="0"/>
      <w:numFmt w:val="bullet"/>
      <w:lvlText w:val="•"/>
      <w:lvlJc w:val="left"/>
      <w:pPr>
        <w:ind w:left="4442" w:hanging="567"/>
      </w:pPr>
      <w:rPr/>
    </w:lvl>
    <w:lvl w:ilvl="5">
      <w:start w:val="0"/>
      <w:numFmt w:val="bullet"/>
      <w:lvlText w:val="•"/>
      <w:lvlJc w:val="left"/>
      <w:pPr>
        <w:ind w:left="5473" w:hanging="567"/>
      </w:pPr>
      <w:rPr/>
    </w:lvl>
    <w:lvl w:ilvl="6">
      <w:start w:val="0"/>
      <w:numFmt w:val="bullet"/>
      <w:lvlText w:val="•"/>
      <w:lvlJc w:val="left"/>
      <w:pPr>
        <w:ind w:left="6503" w:hanging="567.0000000000009"/>
      </w:pPr>
      <w:rPr/>
    </w:lvl>
    <w:lvl w:ilvl="7">
      <w:start w:val="0"/>
      <w:numFmt w:val="bullet"/>
      <w:lvlText w:val="•"/>
      <w:lvlJc w:val="left"/>
      <w:pPr>
        <w:ind w:left="7534" w:hanging="567.0000000000009"/>
      </w:pPr>
      <w:rPr/>
    </w:lvl>
    <w:lvl w:ilvl="8">
      <w:start w:val="0"/>
      <w:numFmt w:val="bullet"/>
      <w:lvlText w:val="•"/>
      <w:lvlJc w:val="left"/>
      <w:pPr>
        <w:ind w:left="8565" w:hanging="567"/>
      </w:pPr>
      <w:rPr/>
    </w:lvl>
  </w:abstractNum>
  <w:abstractNum w:abstractNumId="8">
    <w:lvl w:ilvl="0">
      <w:start w:val="0"/>
      <w:numFmt w:val="bullet"/>
      <w:lvlText w:val="-"/>
      <w:lvlJc w:val="left"/>
      <w:pPr>
        <w:ind w:left="301" w:hanging="144"/>
      </w:pPr>
      <w:rPr>
        <w:rFonts w:ascii="Times New Roman" w:cs="Times New Roman" w:eastAsia="Times New Roman" w:hAnsi="Times New Roman"/>
        <w:sz w:val="24"/>
        <w:szCs w:val="24"/>
      </w:rPr>
    </w:lvl>
    <w:lvl w:ilvl="1">
      <w:start w:val="0"/>
      <w:numFmt w:val="bullet"/>
      <w:lvlText w:val="•"/>
      <w:lvlJc w:val="left"/>
      <w:pPr>
        <w:ind w:left="1182" w:hanging="144"/>
      </w:pPr>
      <w:rPr/>
    </w:lvl>
    <w:lvl w:ilvl="2">
      <w:start w:val="0"/>
      <w:numFmt w:val="bullet"/>
      <w:lvlText w:val="•"/>
      <w:lvlJc w:val="left"/>
      <w:pPr>
        <w:ind w:left="2065" w:hanging="144"/>
      </w:pPr>
      <w:rPr/>
    </w:lvl>
    <w:lvl w:ilvl="3">
      <w:start w:val="0"/>
      <w:numFmt w:val="bullet"/>
      <w:lvlText w:val="•"/>
      <w:lvlJc w:val="left"/>
      <w:pPr>
        <w:ind w:left="2947" w:hanging="144"/>
      </w:pPr>
      <w:rPr/>
    </w:lvl>
    <w:lvl w:ilvl="4">
      <w:start w:val="0"/>
      <w:numFmt w:val="bullet"/>
      <w:lvlText w:val="•"/>
      <w:lvlJc w:val="left"/>
      <w:pPr>
        <w:ind w:left="3830" w:hanging="144"/>
      </w:pPr>
      <w:rPr/>
    </w:lvl>
    <w:lvl w:ilvl="5">
      <w:start w:val="0"/>
      <w:numFmt w:val="bullet"/>
      <w:lvlText w:val="•"/>
      <w:lvlJc w:val="left"/>
      <w:pPr>
        <w:ind w:left="4713" w:hanging="144"/>
      </w:pPr>
      <w:rPr/>
    </w:lvl>
    <w:lvl w:ilvl="6">
      <w:start w:val="0"/>
      <w:numFmt w:val="bullet"/>
      <w:lvlText w:val="•"/>
      <w:lvlJc w:val="left"/>
      <w:pPr>
        <w:ind w:left="5595" w:hanging="144"/>
      </w:pPr>
      <w:rPr/>
    </w:lvl>
    <w:lvl w:ilvl="7">
      <w:start w:val="0"/>
      <w:numFmt w:val="bullet"/>
      <w:lvlText w:val="•"/>
      <w:lvlJc w:val="left"/>
      <w:pPr>
        <w:ind w:left="6478" w:hanging="144"/>
      </w:pPr>
      <w:rPr/>
    </w:lvl>
    <w:lvl w:ilvl="8">
      <w:start w:val="0"/>
      <w:numFmt w:val="bullet"/>
      <w:lvlText w:val="•"/>
      <w:lvlJc w:val="left"/>
      <w:pPr>
        <w:ind w:left="7360" w:hanging="144"/>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313"/>
    </w:pPr>
    <w:rPr>
      <w:rFonts w:ascii="Times New Roman" w:cs="Times New Roman" w:eastAsia="Times New Roman" w:hAnsi="Times New Roman"/>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